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შორენა ლოლაძე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19.03.1992</w:t>
            </w:r>
          </w:p>
        </w:tc>
      </w:tr>
      <w:tr>
        <w:trPr>
          <w:cantSplit w:val="0"/>
          <w:trHeight w:val="291.54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01011081185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ქ. თბილისი, ქეთევან დედოფლის გამზ. N84/86, ბინა 23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557-700-170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shokololadze@gmail.com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2010-2014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სსიპ ივ. ჯავახიშვილის სახელობის თბილისის სახელმწიფო უნივერსიტეტი    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სამართალი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სამართლის ბაკალავრი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2015-2017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სსიპ ივ. ჯავახიშვილის სახელობის თბილისის სახელმწიფო უნივერსიტეტი   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სამართალი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კერძო სამართლის მაგისტრი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2022-დღემდე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სსიპ ივ. ჯავახიშვილის სახელობის თბილისის სახელმწიფო უნივერსიტეტი    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სამართალი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სტუდენტი (დოქტორანტი)</w:t>
                </w:r>
              </w:sdtContent>
            </w:sdt>
          </w:p>
        </w:tc>
      </w:tr>
    </w:tbl>
    <w:p w:rsidR="00000000" w:rsidDel="00000000" w:rsidP="00000000" w:rsidRDefault="00000000" w:rsidRPr="00000000" w14:paraId="0000002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სამუშაო გამოცდილება </w:t>
          </w:r>
        </w:sdtContent>
      </w:sdt>
    </w:p>
    <w:p w:rsidR="00000000" w:rsidDel="00000000" w:rsidP="00000000" w:rsidRDefault="00000000" w:rsidRPr="00000000" w14:paraId="0000002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2018-დღემდე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ა(ა)იპ საქართველოს ახალგაზრდა იურისტთა ასოციაცია - საია   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იურიდიული დახმარების ცენტრის ხელმძღვანელი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2017-2018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ა(ა)იპ საქართველოს ახალგაზრდა იურისტთა ასოციაცია - საია   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ანალიტიკოსი საქართველოში 2016-2018 წლების საარჩევნო ციკლის პერიოდში საარჩევნო დავების (სტრატეგიული სამართალწარმოების და საარჩევნო სუბიექტების მიერ წარმოებული დავების) მიმართულებით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2017-დღემდე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სსიპ იუსტიციის სასწავლო ცენტრი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მოწვეული ტრენერი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2014-2018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ა(ა)იპ საქართველოს ახალგაზრდა იურისტთა ასოციაცია - საია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სამოქალაქო/ადმინისტრაციული სამართლის მიმართულების ადვოკატი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2013-2014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ა(ა)იპ საქართველოს ახალგაზრდა იურისტთა ასოციაცია - საია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სამოქალაქო/ადმინისტრაციული სამართლის მიმართულების კონსულტანტი</w:t>
                </w:r>
              </w:sdtContent>
            </w:sdt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კვალიფიკაციის ამაღლება სპეციალობით ან პედაგოგიური საქმიანობის მიმართულებით</w:t>
            <w:br w:type="textWrapping"/>
          </w:r>
        </w:sdtContent>
      </w:sdt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1440"/>
        <w:gridCol w:w="4963"/>
        <w:gridCol w:w="3542"/>
        <w:tblGridChange w:id="0">
          <w:tblGrid>
            <w:gridCol w:w="535"/>
            <w:gridCol w:w="1440"/>
            <w:gridCol w:w="4963"/>
            <w:gridCol w:w="3542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თქვენი სტატუსი (ფასილიტატორი, მონაწილე)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highlight w:val="white"/>
                <w:rtl w:val="0"/>
              </w:rPr>
              <w:t xml:space="preserve">Anti-discrimination legislation and practice training - USAID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სექსუალური შევიწროების აღმოფხვრა სამუშაო ადგილას - ევროკავშირი საქართველოსთვის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ადმინისტრაციული სამართლის პროცესი და საგადასახადო საქმეების განხილვა საერთო სასამართლოებში - GYLA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სამოქალაქო საპროცესო სამართლის თავისებურებანი -GYLA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აბორტი - მკვლელობა თუ არჩევანი?! – ELSA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სახელმწიფოს პასუხისმგებლობა და მოქალაქის უფლებები - ELSA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ადვოკატთა საკვალიფიკაციო იმიტირებული ტესტირებაში III ადგილის დაკავებისთვის - თსუ-ს სტუდენტთა თვითმართველობა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 (გამარჯვებული)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„ადამიანის უფლებების პრიორიტეტი: სახალხო დამცველის როლი და მისია - საზოგადოებრივი მოლოდინები და შესაძლებლობები - Heinrich Boell Foundation SC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მედიაცია, არბიტრაჟი - კერძო სამართალში დავის გადაწყვეტის   ალტერნატიული მექანიზმები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rtl w:val="0"/>
              </w:rPr>
              <w:t xml:space="preserve">American bar association rule of law institute - USAID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rtl w:val="0"/>
              </w:rPr>
              <w:t xml:space="preserve">Duties of Prospective Juniors - American bar association rule of law institute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ბენეფიციარის ეფექტური მომსახურეობა - პარტნიორობა საქართველო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ადამიანის უფლებები და ჯანმრთელობა - ფონდი ღია საზოგადოება საქართველო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ადვოკატთა საკვალიფიკაციო გამოცდა სამოქალაქო სამართლის მიმართულებით - სსიპ საქართველოს ადვოკატთა ასოციაცია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Covid-19-ით გამოწვეული პანდემიის დროს ქალთა მიმართ ძალადობის პრევენციაში ფსიქოლოგიური სერვისის როლი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მომხსენებელი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highlight w:val="white"/>
                <w:rtl w:val="0"/>
              </w:rPr>
              <w:t xml:space="preserve">Council of Europe - Introduction to the ECHR and ECtHR – Georgia 2020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საქართველოს ინტელექტუალური საკუთრების ეროვნული ცენტრი - ინტელექტუალური საკუთრების ზოგადი კურსი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</w:tbl>
    <w:p w:rsidR="00000000" w:rsidDel="00000000" w:rsidP="00000000" w:rsidRDefault="00000000" w:rsidRPr="00000000" w14:paraId="0000008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Merriweather" w:cs="Merriweather" w:eastAsia="Merriweather" w:hAnsi="Merriweat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გამოცემული სახელმძღვანელოები და მონოგრაფიები (პუბლიკაციები)</w:t>
          </w:r>
        </w:sdtContent>
      </w:sdt>
    </w:p>
    <w:tbl>
      <w:tblPr>
        <w:tblStyle w:val="Table5"/>
        <w:tblW w:w="74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1236"/>
        <w:tblGridChange w:id="0">
          <w:tblGrid>
            <w:gridCol w:w="393"/>
            <w:gridCol w:w="2355"/>
            <w:gridCol w:w="3465"/>
            <w:gridCol w:w="1236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წელი</w:t>
                </w:r>
              </w:sdtContent>
            </w:sdt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4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1236"/>
        <w:tblGridChange w:id="0">
          <w:tblGrid>
            <w:gridCol w:w="393"/>
            <w:gridCol w:w="2355"/>
            <w:gridCol w:w="3465"/>
            <w:gridCol w:w="1236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სტრატეგიული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სამართალწარმოება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მსხვილი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ჰიდროპროექტების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მშენებლობის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წინააღმდეგ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COVID-19-ის გავლენა სამართლებრივ ურთიერთობებზე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დასაქმებულის შრომითი უფლებები სამსახურიდან გათავისუფლებისას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მომხმარებელთა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უფლებების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დაცვა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ფინანსური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ორგანიზაციების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მიერ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მომსახურების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გაწევისას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დაუშვებელი მტკიცებულებები სამოქალაქო საპროცესო სამართალში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სააღსრულებო წარმოება და მასთან დაკავშირებული საკითხები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როგორ</w:t>
                </w:r>
              </w:sdtContent>
            </w:sdt>
            <w:r w:rsidDel="00000000" w:rsidR="00000000" w:rsidRPr="00000000">
              <w:rPr>
                <w:rFonts w:ascii="nino" w:cs="nino" w:eastAsia="nino" w:hAnsi="nino"/>
                <w:highlight w:val="white"/>
                <w:rtl w:val="0"/>
              </w:rPr>
              <w:t xml:space="preserve">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მოვახდინოთ</w:t>
                </w:r>
              </w:sdtContent>
            </w:sdt>
            <w:r w:rsidDel="00000000" w:rsidR="00000000" w:rsidRPr="00000000">
              <w:rPr>
                <w:rFonts w:ascii="nino" w:cs="nino" w:eastAsia="nino" w:hAnsi="nino"/>
                <w:highlight w:val="white"/>
                <w:rtl w:val="0"/>
              </w:rPr>
              <w:t xml:space="preserve">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ფაქტების</w:t>
                </w:r>
              </w:sdtContent>
            </w:sdt>
            <w:r w:rsidDel="00000000" w:rsidR="00000000" w:rsidRPr="00000000">
              <w:rPr>
                <w:rFonts w:ascii="nino" w:cs="nino" w:eastAsia="nino" w:hAnsi="nino"/>
                <w:highlight w:val="white"/>
                <w:rtl w:val="0"/>
              </w:rPr>
              <w:t xml:space="preserve"> 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კონსტატაცია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მოძრავ ნივთზე საკუთრების უფლების წარმოშობა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მტკიცების საგანი ცალკეული დელიქტით მიყენებული ზიანის ანაზღაურების შესახებ სარჩელების გამარტივებული წესით განხილვის დროს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ვალდებულების დარღვევისას იპოთეკის საგნის იპოთეკარის საკუთრებაში გადასვლასთან დაკავშირებით სასამართლო პრაქტიკის ანალიზი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4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1236"/>
        <w:tblGridChange w:id="0">
          <w:tblGrid>
            <w:gridCol w:w="393"/>
            <w:gridCol w:w="2355"/>
            <w:gridCol w:w="3465"/>
            <w:gridCol w:w="12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ხელშეკრულების თავისუფლების პრინციპის შეზღუდვის სამართლებრივი საფუძველი საპროცენტო განაკვეთთან დაკავშირებით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0C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sdt>
        <w:sdtPr>
          <w:tag w:val="goog_rdk_1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(პუბლიკაციების ნაწილი მომზადებულია საუნივერსიტეტო სწავლების ფარგლებში, ნაწილი კი - სამსახურებრივ ფარგლებში)</w:t>
          </w:r>
        </w:sdtContent>
      </w:sdt>
    </w:p>
    <w:p w:rsidR="00000000" w:rsidDel="00000000" w:rsidP="00000000" w:rsidRDefault="00000000" w:rsidRPr="00000000" w14:paraId="000000C3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Merriweather" w:cs="Merriweather" w:eastAsia="Merriweather" w:hAnsi="Merriweather"/>
          <w:sz w:val="24"/>
          <w:szCs w:val="24"/>
        </w:rPr>
      </w:pPr>
      <w:bookmarkStart w:colFirst="0" w:colLast="0" w:name="_heading=h.gjdgxs" w:id="0"/>
      <w:bookmarkEnd w:id="0"/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დოკუმენტების ნაწილი, რომლებზეც უკანასკნელი 2 წლის განმავლობაში მიმუშავია, საჯაროდ ხელმისაწვდომია, შემდეგ ბმულებზე:</w:t>
          </w:r>
        </w:sdtContent>
      </w:sdt>
    </w:p>
    <w:p w:rsidR="00000000" w:rsidDel="00000000" w:rsidP="00000000" w:rsidRDefault="00000000" w:rsidRPr="00000000" w14:paraId="000000C5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Merriweather" w:cs="Merriweather" w:eastAsia="Merriweather" w:hAnsi="Merriweather"/>
          <w:sz w:val="24"/>
          <w:szCs w:val="24"/>
        </w:rPr>
      </w:pPr>
      <w:hyperlink r:id="rId7">
        <w:r w:rsidDel="00000000" w:rsidR="00000000" w:rsidRPr="00000000">
          <w:rPr>
            <w:rFonts w:ascii="Merriweather" w:cs="Merriweather" w:eastAsia="Merriweather" w:hAnsi="Merriweather"/>
            <w:color w:val="f49100"/>
            <w:sz w:val="24"/>
            <w:szCs w:val="24"/>
            <w:u w:val="single"/>
            <w:rtl w:val="0"/>
          </w:rPr>
          <w:t xml:space="preserve">https://gyla.ge/ge/mod/publications/24</w:t>
        </w:r>
      </w:hyperlink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>
          <w:rFonts w:ascii="Merriweather" w:cs="Merriweather" w:eastAsia="Merriweather" w:hAnsi="Merriweather"/>
          <w:sz w:val="24"/>
          <w:szCs w:val="24"/>
        </w:rPr>
      </w:pPr>
      <w:hyperlink r:id="rId8">
        <w:r w:rsidDel="00000000" w:rsidR="00000000" w:rsidRPr="00000000">
          <w:rPr>
            <w:rFonts w:ascii="Merriweather" w:cs="Merriweather" w:eastAsia="Merriweather" w:hAnsi="Merriweather"/>
            <w:color w:val="f49100"/>
            <w:sz w:val="24"/>
            <w:szCs w:val="24"/>
            <w:u w:val="single"/>
            <w:rtl w:val="0"/>
          </w:rPr>
          <w:t xml:space="preserve">https://gyla.ge/ge/mod/publications/23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Merriweather" w:cs="Merriweather" w:eastAsia="Merriweather" w:hAnsi="Merriweather"/>
          <w:sz w:val="24"/>
          <w:szCs w:val="24"/>
        </w:rPr>
      </w:pPr>
      <w:hyperlink r:id="rId9">
        <w:r w:rsidDel="00000000" w:rsidR="00000000" w:rsidRPr="00000000">
          <w:rPr>
            <w:rFonts w:ascii="Merriweather" w:cs="Merriweather" w:eastAsia="Merriweather" w:hAnsi="Merriweather"/>
            <w:color w:val="f49100"/>
            <w:sz w:val="24"/>
            <w:szCs w:val="24"/>
            <w:u w:val="single"/>
            <w:rtl w:val="0"/>
          </w:rPr>
          <w:t xml:space="preserve">https://gyla.ge/ge/mod/publications/22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</w:t>
            <w:br w:type="textWrapping"/>
            <w:t xml:space="preserve">უცხო ენის ცოდნა </w:t>
          </w:r>
        </w:sdtContent>
      </w:sdt>
    </w:p>
    <w:p w:rsidR="00000000" w:rsidDel="00000000" w:rsidP="00000000" w:rsidRDefault="00000000" w:rsidRPr="00000000" w14:paraId="000000C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ქართული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Merriweather" w:cs="Merriweather" w:eastAsia="Merriweather" w:hAnsi="Merriweath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მშობლიური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რუსული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ინგლისური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 (B2)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IELTS</w:t>
            </w:r>
          </w:p>
        </w:tc>
      </w:tr>
    </w:tbl>
    <w:p w:rsidR="00000000" w:rsidDel="00000000" w:rsidP="00000000" w:rsidRDefault="00000000" w:rsidRPr="00000000" w14:paraId="000000E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0E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პროგრამა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11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30j0zll" w:id="1"/>
      <w:bookmarkEnd w:id="1"/>
      <w:sdt>
        <w:sdtPr>
          <w:tag w:val="goog_rdk_1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  <w:font w:name="ni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38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15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4" w:customStyle="1">
    <w:name w:val="14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3" w:customStyle="1">
    <w:name w:val="13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2" w:customStyle="1">
    <w:name w:val="1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1" w:customStyle="1">
    <w:name w:val="1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0" w:customStyle="1">
    <w:name w:val="10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9" w:customStyle="1">
    <w:name w:val="9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8" w:customStyle="1">
    <w:name w:val="8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7" w:customStyle="1">
    <w:name w:val="7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6" w:customStyle="1">
    <w:name w:val="6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441BA9"/>
    <w:pPr>
      <w:spacing w:after="0" w:line="240" w:lineRule="auto"/>
    </w:pPr>
    <w:rPr>
      <w:rFonts w:ascii="Consolas" w:cs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441BA9"/>
    <w:rPr>
      <w:rFonts w:ascii="Consolas" w:cs="Consolas" w:hAnsi="Consola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gyla.ge/ge/mod/publications/2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yla.ge/ge/mod/publications/24" TargetMode="External"/><Relationship Id="rId8" Type="http://schemas.openxmlformats.org/officeDocument/2006/relationships/hyperlink" Target="https://gyla.ge/ge/mod/publications/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VfVnRIGF0BMPw3U3xsjm55BsUQ==">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2021-09-03T12:12:00Z</dcterms:created>
  <dc:creator>Natalia Jikidze</dc:creator>
</cp:coreProperties>
</file>