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Infromation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Kakhaberi Kviloria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color w:val="000000"/>
                <w:rtl w:val="0"/>
              </w:rPr>
              <w:t xml:space="preserve">27.03.1990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Ct. Rustavi N15 11/16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593516615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tabs>
                <w:tab w:val="left" w:pos="4140"/>
                <w:tab w:val="center" w:pos="5040"/>
              </w:tabs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hyperlink r:id="rId7">
              <w:r w:rsidDel="00000000" w:rsidR="00000000" w:rsidRPr="00000000">
                <w:rPr>
                  <w:color w:val="000000"/>
                  <w:u w:val="single"/>
                  <w:rtl w:val="0"/>
                </w:rPr>
                <w:t xml:space="preserve">kaxaqviloria@gmail.com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2014-2018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TSMU Postgraduate Medical Education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Urology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MD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2007-2013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TSMU faculty of medicine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Medicine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2002-2007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Ct. Rustavi fizic-math scool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1996-2002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Ct. Rustavi N15 th scool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5968"/>
        <w:gridCol w:w="3195"/>
        <w:tblGridChange w:id="0">
          <w:tblGrid>
            <w:gridCol w:w="1435"/>
            <w:gridCol w:w="5968"/>
            <w:gridCol w:w="31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A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B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2022- Up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European 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Invited Lecturer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2014 - Up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TSMU Department of urology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Urologyst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2017 - Up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TSMU asistent of professors demonstration and training of clinical skills within the Urology module for students of the department of urology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2014 - Up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Clynic “Gidmedi”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Urologyst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2020 - Up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Clynic “Vivamedi”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Urologyst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2021 - Up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Clynic “Pineo” – Covid19 department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Jn. Doctor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2017 - Up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Clynic “Pineo” – ICU department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Jn. Doctor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2016 – 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“Tbilisi sea hospital” ICU department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Jn. Doctor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2015 – 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“Elizabeth Blackwell hospital” ICU department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Jn. Doctor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2011 – 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Clynic “New Hospital”  ICU department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Jn. Doctor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2014 – 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Clynic “HMTC” Department of urology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Urologyst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2014 – 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“Medcare”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Nurse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2013 – 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“Rustavi Central” Emergency department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Jn. Doctor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2012 – 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hospitalservice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Nurse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2010 – 2011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Clynic “Neoclic” Anesthesia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Nurse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2009 – 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Tbilisi Respublic hospital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Nurse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2008 – 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“N4 Tbilisi hospital”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Nurse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2007 – 2008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Rustavi Central” ICU department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Nurse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Russian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German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A1 Goethe</w:t>
            </w:r>
          </w:p>
        </w:tc>
      </w:tr>
    </w:tbl>
    <w:p w:rsidR="00000000" w:rsidDel="00000000" w:rsidP="00000000" w:rsidRDefault="00000000" w:rsidRPr="00000000" w14:paraId="0000008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D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2011-2020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tabs>
                <w:tab w:val="left" w:pos="720"/>
                <w:tab w:val="left" w:pos="1440"/>
                <w:tab w:val="left" w:pos="2160"/>
              </w:tabs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GAU Annual congrerss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Obserevr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Publication</w:t>
      </w:r>
    </w:p>
    <w:p w:rsidR="00000000" w:rsidDel="00000000" w:rsidP="00000000" w:rsidRDefault="00000000" w:rsidRPr="00000000" w14:paraId="000000C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2"/>
        <w:gridCol w:w="993"/>
        <w:gridCol w:w="6447"/>
        <w:gridCol w:w="2598"/>
        <w:tblGridChange w:id="0">
          <w:tblGrid>
            <w:gridCol w:w="442"/>
            <w:gridCol w:w="993"/>
            <w:gridCol w:w="6447"/>
            <w:gridCol w:w="2598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C9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CA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CB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Publication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CC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0DC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990"/>
        <w:gridCol w:w="6425"/>
        <w:gridCol w:w="2620"/>
        <w:tblGridChange w:id="0">
          <w:tblGrid>
            <w:gridCol w:w="445"/>
            <w:gridCol w:w="990"/>
            <w:gridCol w:w="6425"/>
            <w:gridCol w:w="262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DD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E0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Book: “The secret of migraine”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tabs>
                <w:tab w:val="left" w:pos="720"/>
                <w:tab w:val="left" w:pos="1440"/>
                <w:tab w:val="left" w:pos="2160"/>
              </w:tabs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Working team member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0EF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Optionally you can specify additional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imes New Roman"/>
  <w:font w:name="AcadNusx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C6AE8"/>
  </w:style>
  <w:style w:type="paragraph" w:styleId="Heading1">
    <w:name w:val="heading 1"/>
    <w:basedOn w:val="Normal"/>
    <w:next w:val="Normal"/>
    <w:rsid w:val="00FC6AE8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rsid w:val="00FC6AE8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rsid w:val="00FC6AE8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rsid w:val="00FC6AE8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rsid w:val="00FC6AE8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rsid w:val="00FC6AE8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rsid w:val="00FC6AE8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rsid w:val="00FC6AE8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e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0" w:customStyle="1">
    <w:basedOn w:val="TableNormal"/>
    <w:rsid w:val="00FC6AE8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810AA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810AA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B757FE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D6DB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D6DB8"/>
    <w:rPr>
      <w:rFonts w:ascii="Tahoma" w:cs="Tahoma" w:hAnsi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AD6DB8"/>
    <w:rPr>
      <w:color w:val="85dfd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kaxaqviloria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zJ1nyzZyuPlG1y1+J6yYFebTag==">AMUW2mXDuRAeOIvnQCTimi1vCRixfKcA+TTil+s+DTPq7pAo6XVi34wYVcQJX7FSiK7Ud3POlhu091bq5Um8HYXqQ/3aAIGoxSQ/46W+CWp4JcUQp4iw5aC3w8dl9BKybw8Ch+BrEw0DfBf4atgUnB/LCd+2fE3tKN89+YKg12RIC1N6gXoYENs=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