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38" w:rsidRPr="00A11D37" w:rsidRDefault="00786738" w:rsidP="00A11D3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86738">
        <w:rPr>
          <w:b/>
          <w:sz w:val="28"/>
          <w:szCs w:val="28"/>
          <w:lang w:val="en-US"/>
        </w:rPr>
        <w:t>Curriculum Vitae</w:t>
      </w:r>
    </w:p>
    <w:p w:rsidR="00E014B3" w:rsidRDefault="00E014B3" w:rsidP="00786738">
      <w:pPr>
        <w:spacing w:line="360" w:lineRule="auto"/>
        <w:jc w:val="both"/>
        <w:rPr>
          <w:rFonts w:ascii="AcadNusx" w:hAnsi="AcadNusx"/>
          <w:lang w:val="it-IT"/>
        </w:rPr>
      </w:pPr>
    </w:p>
    <w:p w:rsidR="008D16A1" w:rsidRPr="004C465E" w:rsidRDefault="008D16A1" w:rsidP="00786738">
      <w:pPr>
        <w:spacing w:line="360" w:lineRule="auto"/>
        <w:jc w:val="both"/>
        <w:rPr>
          <w:rFonts w:ascii="AcadNusx" w:hAnsi="AcadNusx"/>
          <w:b/>
          <w:lang w:val="it-IT"/>
        </w:rPr>
      </w:pPr>
      <w:r w:rsidRPr="00397341">
        <w:rPr>
          <w:rFonts w:ascii="AcadNusx" w:hAnsi="AcadNusx"/>
          <w:lang w:val="it-IT"/>
        </w:rPr>
        <w:t>saxel</w:t>
      </w:r>
      <w:r w:rsidR="00786738" w:rsidRPr="00397341">
        <w:rPr>
          <w:rFonts w:ascii="AcadNusx" w:hAnsi="AcadNusx"/>
          <w:lang w:val="it-IT"/>
        </w:rPr>
        <w:t>i</w:t>
      </w:r>
      <w:r w:rsidR="004C465E" w:rsidRPr="00397341">
        <w:rPr>
          <w:rFonts w:ascii="AcadNusx" w:hAnsi="AcadNusx"/>
          <w:lang w:val="it-IT"/>
        </w:rPr>
        <w:t>, gvari</w:t>
      </w:r>
      <w:r w:rsidR="00786738">
        <w:rPr>
          <w:rFonts w:ascii="AcadNusx" w:hAnsi="AcadNusx"/>
          <w:lang w:val="it-IT"/>
        </w:rPr>
        <w:t xml:space="preserve"> </w:t>
      </w:r>
      <w:r w:rsidR="00786738">
        <w:rPr>
          <w:rFonts w:ascii="AcadNusx" w:hAnsi="AcadNusx"/>
          <w:lang w:val="it-IT"/>
        </w:rPr>
        <w:tab/>
      </w:r>
      <w:r w:rsidR="00786738">
        <w:rPr>
          <w:rFonts w:ascii="AcadNusx" w:hAnsi="AcadNusx"/>
          <w:lang w:val="it-IT"/>
        </w:rPr>
        <w:tab/>
      </w:r>
      <w:r w:rsidR="003667E3">
        <w:rPr>
          <w:rFonts w:ascii="AcadNusx" w:hAnsi="AcadNusx"/>
          <w:b/>
          <w:lang w:val="it-IT"/>
        </w:rPr>
        <w:t>nino lobJaniZe</w:t>
      </w:r>
    </w:p>
    <w:p w:rsidR="00786738" w:rsidRDefault="001A27A6" w:rsidP="00786738">
      <w:pPr>
        <w:spacing w:line="360" w:lineRule="auto"/>
        <w:jc w:val="both"/>
        <w:rPr>
          <w:rFonts w:ascii="AcadNusx" w:hAnsi="AcadNusx"/>
          <w:lang w:val="it-IT"/>
        </w:rPr>
      </w:pPr>
      <w:r w:rsidRPr="00397341">
        <w:rPr>
          <w:rFonts w:ascii="AcadNusx" w:hAnsi="AcadNusx"/>
          <w:lang w:val="it-IT"/>
        </w:rPr>
        <w:t>dab. TariRi</w:t>
      </w:r>
      <w:r>
        <w:rPr>
          <w:rFonts w:ascii="AcadNusx" w:hAnsi="AcadNusx"/>
          <w:lang w:val="it-IT"/>
        </w:rPr>
        <w:t xml:space="preserve">     </w:t>
      </w:r>
      <w:r w:rsidR="00E67F25">
        <w:rPr>
          <w:rFonts w:ascii="AcadNusx" w:hAnsi="AcadNusx"/>
          <w:lang w:val="it-IT"/>
        </w:rPr>
        <w:tab/>
      </w:r>
      <w:r w:rsidR="00E67F25">
        <w:rPr>
          <w:rFonts w:ascii="AcadNusx" w:hAnsi="AcadNusx"/>
          <w:lang w:val="it-IT"/>
        </w:rPr>
        <w:tab/>
      </w:r>
      <w:r w:rsidR="003667E3">
        <w:rPr>
          <w:rFonts w:ascii="AcadNusx" w:hAnsi="AcadNusx"/>
          <w:lang w:val="it-IT"/>
        </w:rPr>
        <w:t>1985 wlis 9 Tebervali</w:t>
      </w:r>
    </w:p>
    <w:p w:rsidR="008D16A1" w:rsidRDefault="00786738" w:rsidP="00786738">
      <w:pPr>
        <w:spacing w:line="360" w:lineRule="auto"/>
        <w:jc w:val="both"/>
        <w:rPr>
          <w:rFonts w:ascii="AcadNusx" w:hAnsi="AcadNusx"/>
          <w:lang w:val="it-IT"/>
        </w:rPr>
      </w:pPr>
      <w:r w:rsidRPr="00397341">
        <w:rPr>
          <w:rFonts w:ascii="AcadNusx" w:hAnsi="AcadNusx"/>
          <w:lang w:val="it-IT"/>
        </w:rPr>
        <w:t>dab. adgili</w:t>
      </w:r>
      <w:r w:rsidR="00E67F25">
        <w:rPr>
          <w:rFonts w:ascii="AcadNusx" w:hAnsi="AcadNusx"/>
          <w:lang w:val="it-IT"/>
        </w:rPr>
        <w:t xml:space="preserve"> </w:t>
      </w:r>
      <w:r w:rsidR="00E67F25">
        <w:rPr>
          <w:rFonts w:ascii="AcadNusx" w:hAnsi="AcadNusx"/>
          <w:lang w:val="it-IT"/>
        </w:rPr>
        <w:tab/>
      </w:r>
      <w:r w:rsidR="00E67F25">
        <w:rPr>
          <w:rFonts w:ascii="AcadNusx" w:hAnsi="AcadNusx"/>
          <w:lang w:val="it-IT"/>
        </w:rPr>
        <w:tab/>
      </w:r>
      <w:r w:rsidR="003667E3">
        <w:rPr>
          <w:rFonts w:ascii="AcadNusx" w:hAnsi="AcadNusx"/>
          <w:lang w:val="it-IT"/>
        </w:rPr>
        <w:t>quTaisi,</w:t>
      </w:r>
      <w:r>
        <w:rPr>
          <w:rFonts w:ascii="AcadNusx" w:hAnsi="AcadNusx"/>
          <w:lang w:val="it-IT"/>
        </w:rPr>
        <w:t xml:space="preserve"> saqarTvelo</w:t>
      </w:r>
    </w:p>
    <w:p w:rsidR="008C4A14" w:rsidRDefault="00E67F25" w:rsidP="00786738">
      <w:pPr>
        <w:spacing w:line="360" w:lineRule="auto"/>
        <w:jc w:val="both"/>
        <w:rPr>
          <w:rFonts w:ascii="AcadNusx" w:hAnsi="AcadNusx"/>
          <w:lang w:val="it-IT"/>
        </w:rPr>
      </w:pPr>
      <w:r w:rsidRPr="00397341">
        <w:rPr>
          <w:rFonts w:ascii="AcadNusx" w:hAnsi="AcadNusx"/>
          <w:lang w:val="it-IT"/>
        </w:rPr>
        <w:t>moqalaqeoba</w:t>
      </w:r>
      <w:r w:rsidR="008C4A14" w:rsidRPr="00397341">
        <w:rPr>
          <w:rFonts w:ascii="AcadNusx" w:hAnsi="AcadNusx"/>
          <w:lang w:val="it-IT"/>
        </w:rPr>
        <w:t xml:space="preserve"> </w:t>
      </w:r>
      <w:r w:rsidR="008C4A14">
        <w:rPr>
          <w:rFonts w:ascii="AcadNusx" w:hAnsi="AcadNusx"/>
          <w:lang w:val="it-IT"/>
        </w:rPr>
        <w:t xml:space="preserve">         </w:t>
      </w:r>
      <w:r>
        <w:rPr>
          <w:rFonts w:ascii="AcadNusx" w:hAnsi="AcadNusx"/>
          <w:lang w:val="it-IT"/>
        </w:rPr>
        <w:tab/>
        <w:t>saqarTvelo</w:t>
      </w:r>
    </w:p>
    <w:p w:rsidR="002F61DB" w:rsidRPr="00397341" w:rsidRDefault="007A7CC2" w:rsidP="00786738">
      <w:pPr>
        <w:spacing w:line="360" w:lineRule="auto"/>
        <w:jc w:val="both"/>
        <w:rPr>
          <w:rFonts w:ascii="AcadNusx" w:hAnsi="AcadNusx"/>
          <w:lang w:val="it-IT"/>
        </w:rPr>
      </w:pPr>
      <w:r w:rsidRPr="00397341">
        <w:rPr>
          <w:rFonts w:ascii="AcadNusx" w:hAnsi="AcadNusx"/>
          <w:lang w:val="it-IT"/>
        </w:rPr>
        <w:t>misamarTi</w:t>
      </w:r>
      <w:r w:rsidR="00E67F25" w:rsidRPr="00397341">
        <w:rPr>
          <w:rFonts w:ascii="AcadNusx" w:hAnsi="AcadNusx"/>
          <w:lang w:val="it-IT"/>
        </w:rPr>
        <w:t xml:space="preserve">         </w:t>
      </w:r>
      <w:r w:rsidR="00E67F25" w:rsidRPr="00397341">
        <w:rPr>
          <w:rFonts w:ascii="AcadNusx" w:hAnsi="AcadNusx"/>
          <w:lang w:val="it-IT"/>
        </w:rPr>
        <w:tab/>
        <w:t>baraT</w:t>
      </w:r>
      <w:r w:rsidR="00585C3B">
        <w:rPr>
          <w:rFonts w:ascii="AcadNusx" w:hAnsi="AcadNusx"/>
          <w:lang w:val="it-IT"/>
        </w:rPr>
        <w:t>aSvilis q. #111, 4600, quTaisi</w:t>
      </w:r>
    </w:p>
    <w:p w:rsidR="005E73D9" w:rsidRPr="00397341" w:rsidRDefault="003667E3" w:rsidP="00786738">
      <w:pPr>
        <w:spacing w:line="360" w:lineRule="auto"/>
        <w:jc w:val="both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telefoni  </w:t>
      </w:r>
      <w:r>
        <w:rPr>
          <w:rFonts w:ascii="AcadNusx" w:hAnsi="AcadNusx"/>
          <w:lang w:val="it-IT"/>
        </w:rPr>
        <w:tab/>
      </w:r>
      <w:r>
        <w:rPr>
          <w:rFonts w:ascii="AcadNusx" w:hAnsi="AcadNusx"/>
          <w:lang w:val="it-IT"/>
        </w:rPr>
        <w:tab/>
      </w:r>
      <w:r w:rsidR="00A11D37">
        <w:rPr>
          <w:rFonts w:ascii="AcadNusx" w:hAnsi="AcadNusx"/>
          <w:lang w:val="it-IT"/>
        </w:rPr>
        <w:t xml:space="preserve">+995 </w:t>
      </w:r>
      <w:r>
        <w:rPr>
          <w:rFonts w:ascii="AcadNusx" w:hAnsi="AcadNusx"/>
          <w:lang w:val="it-IT"/>
        </w:rPr>
        <w:t>599 11</w:t>
      </w:r>
      <w:r w:rsidR="00A11D37">
        <w:rPr>
          <w:rFonts w:ascii="AcadNusx" w:hAnsi="AcadNusx"/>
          <w:lang w:val="it-IT"/>
        </w:rPr>
        <w:t>8 1</w:t>
      </w:r>
      <w:r>
        <w:rPr>
          <w:rFonts w:ascii="AcadNusx" w:hAnsi="AcadNusx"/>
          <w:lang w:val="it-IT"/>
        </w:rPr>
        <w:t>58</w:t>
      </w:r>
      <w:r w:rsidR="0011318B">
        <w:rPr>
          <w:rFonts w:ascii="AcadNusx" w:hAnsi="AcadNusx"/>
          <w:lang w:val="it-IT"/>
        </w:rPr>
        <w:t>.</w:t>
      </w:r>
      <w:r w:rsidR="00A11D37">
        <w:rPr>
          <w:rFonts w:ascii="AcadNusx" w:hAnsi="AcadNusx"/>
          <w:lang w:val="it-IT"/>
        </w:rPr>
        <w:t xml:space="preserve"> +995 0431 243 777</w:t>
      </w:r>
    </w:p>
    <w:p w:rsidR="006C7B07" w:rsidRDefault="00B40E69" w:rsidP="00786738">
      <w:pPr>
        <w:spacing w:line="360" w:lineRule="auto"/>
        <w:jc w:val="both"/>
        <w:rPr>
          <w:lang w:val="it-IT"/>
        </w:rPr>
      </w:pPr>
      <w:r w:rsidRPr="00397341">
        <w:rPr>
          <w:rFonts w:ascii="AcadNusx" w:hAnsi="AcadNusx"/>
          <w:lang w:val="it-IT"/>
        </w:rPr>
        <w:t>el. fosta</w:t>
      </w:r>
      <w:r w:rsidR="006C7B07">
        <w:rPr>
          <w:rFonts w:ascii="AcadNusx" w:hAnsi="AcadNusx"/>
          <w:lang w:val="it-IT"/>
        </w:rPr>
        <w:t xml:space="preserve">        </w:t>
      </w:r>
      <w:r>
        <w:rPr>
          <w:rFonts w:ascii="AcadNusx" w:hAnsi="AcadNusx"/>
          <w:lang w:val="it-IT"/>
        </w:rPr>
        <w:tab/>
      </w:r>
      <w:r w:rsidR="003667E3">
        <w:rPr>
          <w:lang w:val="it-IT"/>
        </w:rPr>
        <w:t>ninaka_lobzhanidze@yahoo.com</w:t>
      </w:r>
    </w:p>
    <w:p w:rsidR="00DE7063" w:rsidRDefault="00DE7063" w:rsidP="00786738">
      <w:pPr>
        <w:spacing w:line="360" w:lineRule="auto"/>
        <w:jc w:val="both"/>
        <w:rPr>
          <w:rFonts w:ascii="AcadNusx" w:hAnsi="AcadNusx"/>
          <w:lang w:val="it-IT"/>
        </w:rPr>
      </w:pPr>
    </w:p>
    <w:p w:rsidR="00F5516A" w:rsidRPr="00B91CE6" w:rsidRDefault="00B27FDA" w:rsidP="003F5267">
      <w:pPr>
        <w:spacing w:line="360" w:lineRule="auto"/>
        <w:jc w:val="both"/>
        <w:rPr>
          <w:rFonts w:ascii="AcadNusx" w:hAnsi="AcadNusx"/>
          <w:b/>
          <w:lang w:val="it-IT"/>
        </w:rPr>
      </w:pPr>
      <w:r>
        <w:rPr>
          <w:rFonts w:ascii="AcadNusx" w:hAnsi="AcadNusx"/>
          <w:b/>
          <w:highlight w:val="lightGray"/>
          <w:lang w:val="it-IT"/>
        </w:rPr>
        <w:t xml:space="preserve">                       </w:t>
      </w:r>
      <w:r w:rsidR="00DE7063" w:rsidRPr="00D6743D">
        <w:rPr>
          <w:rFonts w:ascii="AcadNusx" w:hAnsi="AcadNusx"/>
          <w:b/>
          <w:highlight w:val="lightGray"/>
          <w:lang w:val="it-IT"/>
        </w:rPr>
        <w:t>ganaTleba</w:t>
      </w:r>
      <w:r w:rsidR="00B1226D">
        <w:rPr>
          <w:rFonts w:ascii="AcadNusx" w:hAnsi="AcadNusx"/>
          <w:b/>
          <w:highlight w:val="lightGray"/>
          <w:lang w:val="it-IT"/>
        </w:rPr>
        <w:t xml:space="preserve"> da licenziebi</w:t>
      </w:r>
      <w:r w:rsidR="00B1226D">
        <w:rPr>
          <w:rFonts w:ascii="AcadNusx" w:hAnsi="AcadNusx"/>
          <w:b/>
          <w:highlight w:val="lightGray"/>
          <w:lang w:val="it-IT"/>
        </w:rPr>
        <w:tab/>
      </w:r>
      <w:r w:rsidR="00B1226D">
        <w:rPr>
          <w:rFonts w:ascii="AcadNusx" w:hAnsi="AcadNusx"/>
          <w:b/>
          <w:highlight w:val="lightGray"/>
          <w:lang w:val="it-IT"/>
        </w:rPr>
        <w:tab/>
      </w:r>
      <w:r w:rsidR="00B1226D">
        <w:rPr>
          <w:rFonts w:ascii="AcadNusx" w:hAnsi="AcadNusx"/>
          <w:b/>
          <w:highlight w:val="lightGray"/>
          <w:lang w:val="it-IT"/>
        </w:rPr>
        <w:tab/>
      </w:r>
      <w:r w:rsidR="00B1226D">
        <w:rPr>
          <w:rFonts w:ascii="AcadNusx" w:hAnsi="AcadNusx"/>
          <w:b/>
          <w:highlight w:val="lightGray"/>
          <w:lang w:val="it-IT"/>
        </w:rPr>
        <w:tab/>
      </w:r>
    </w:p>
    <w:p w:rsidR="00CC094D" w:rsidRDefault="00471B3B" w:rsidP="00817491">
      <w:pPr>
        <w:spacing w:line="360" w:lineRule="auto"/>
        <w:jc w:val="both"/>
        <w:rPr>
          <w:rFonts w:ascii="AcadNusx" w:hAnsi="AcadNusx" w:cs="Arial"/>
          <w:lang w:val="it-IT"/>
        </w:rPr>
      </w:pPr>
      <w:r>
        <w:rPr>
          <w:rFonts w:ascii="AcadNusx" w:hAnsi="AcadNusx" w:cs="Arial"/>
          <w:lang w:val="it-IT"/>
        </w:rPr>
        <w:t xml:space="preserve">2012 – saxelmwifo serTifikati endokrinologis specialobiT.  </w:t>
      </w:r>
    </w:p>
    <w:p w:rsidR="008B4473" w:rsidRDefault="00E62AF8" w:rsidP="00471B3B">
      <w:pPr>
        <w:spacing w:line="360" w:lineRule="auto"/>
        <w:jc w:val="both"/>
        <w:rPr>
          <w:rFonts w:ascii="AcadNusx" w:hAnsi="AcadNusx"/>
          <w:lang w:val="it-IT"/>
        </w:rPr>
      </w:pPr>
      <w:r>
        <w:rPr>
          <w:rFonts w:ascii="AcadNusx" w:hAnsi="AcadNusx" w:cs="Arial"/>
          <w:lang w:val="it-IT"/>
        </w:rPr>
        <w:t xml:space="preserve">2008-2011 _ rezidentura endokrinologis specialobiT, Tbilisis saxelmwifo </w:t>
      </w:r>
      <w:r w:rsidR="00471B3B">
        <w:rPr>
          <w:rFonts w:ascii="AcadNusx" w:hAnsi="AcadNusx" w:cs="Arial"/>
          <w:lang w:val="it-IT"/>
        </w:rPr>
        <w:t xml:space="preserve">          </w:t>
      </w:r>
      <w:r>
        <w:rPr>
          <w:rFonts w:ascii="AcadNusx" w:hAnsi="AcadNusx" w:cs="Arial"/>
          <w:lang w:val="it-IT"/>
        </w:rPr>
        <w:t xml:space="preserve">                                  </w:t>
      </w:r>
      <w:r w:rsidR="00471B3B">
        <w:rPr>
          <w:rFonts w:ascii="AcadNusx" w:hAnsi="AcadNusx" w:cs="Arial"/>
          <w:lang w:val="it-IT"/>
        </w:rPr>
        <w:t xml:space="preserve">             </w:t>
      </w:r>
      <w:r>
        <w:rPr>
          <w:rFonts w:ascii="AcadNusx" w:hAnsi="AcadNusx" w:cs="Arial"/>
          <w:lang w:val="it-IT"/>
        </w:rPr>
        <w:t>samedicino universitetis diplomisSemdgomi samedicino ganaTlebisa da uwyveti profesiuli ganviTarebis instituti.</w:t>
      </w:r>
    </w:p>
    <w:p w:rsidR="00CF4B4B" w:rsidRPr="00E62AF8" w:rsidRDefault="008C210E" w:rsidP="00817491">
      <w:pPr>
        <w:spacing w:line="360" w:lineRule="auto"/>
        <w:jc w:val="both"/>
        <w:rPr>
          <w:rFonts w:ascii="AcadNusx" w:hAnsi="AcadNusx" w:cs="Arial"/>
          <w:lang w:val="it-IT"/>
        </w:rPr>
      </w:pPr>
      <w:r>
        <w:rPr>
          <w:rFonts w:ascii="AcadNusx" w:hAnsi="AcadNusx"/>
          <w:lang w:val="it-IT"/>
        </w:rPr>
        <w:t>2002</w:t>
      </w:r>
      <w:r w:rsidR="00E62AF8">
        <w:rPr>
          <w:rFonts w:ascii="AcadNusx" w:hAnsi="AcadNusx"/>
          <w:lang w:val="it-IT"/>
        </w:rPr>
        <w:t>-2008</w:t>
      </w:r>
      <w:r>
        <w:rPr>
          <w:rFonts w:ascii="AcadNusx" w:hAnsi="AcadNusx"/>
          <w:lang w:val="it-IT"/>
        </w:rPr>
        <w:t xml:space="preserve"> </w:t>
      </w:r>
      <w:r w:rsidR="00E62AF8">
        <w:rPr>
          <w:rFonts w:ascii="AcadNusx" w:hAnsi="AcadNusx"/>
          <w:lang w:val="it-IT"/>
        </w:rPr>
        <w:t>–</w:t>
      </w:r>
      <w:r>
        <w:rPr>
          <w:rFonts w:ascii="AcadNusx" w:hAnsi="AcadNusx"/>
          <w:lang w:val="it-IT"/>
        </w:rPr>
        <w:t xml:space="preserve"> </w:t>
      </w:r>
      <w:r w:rsidR="00E62AF8">
        <w:rPr>
          <w:rFonts w:ascii="AcadNusx" w:hAnsi="AcadNusx"/>
          <w:lang w:val="it-IT"/>
        </w:rPr>
        <w:t>akaki wereTlis saxelmwifo universiteti, medicinis fakulteti.</w:t>
      </w:r>
    </w:p>
    <w:p w:rsidR="00CF4B4B" w:rsidRDefault="00CF4B4B" w:rsidP="00817491">
      <w:pPr>
        <w:spacing w:line="360" w:lineRule="auto"/>
        <w:jc w:val="both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>1</w:t>
      </w:r>
      <w:r w:rsidR="00E62AF8">
        <w:rPr>
          <w:rFonts w:ascii="AcadNusx" w:hAnsi="AcadNusx"/>
          <w:lang w:val="it-IT"/>
        </w:rPr>
        <w:t xml:space="preserve">991-2002 – quTaisi me-3 sajaro </w:t>
      </w:r>
      <w:r>
        <w:rPr>
          <w:rFonts w:ascii="AcadNusx" w:hAnsi="AcadNusx"/>
          <w:lang w:val="it-IT"/>
        </w:rPr>
        <w:t>skola.</w:t>
      </w:r>
    </w:p>
    <w:p w:rsidR="00BF0CB4" w:rsidRDefault="00BF0CB4" w:rsidP="00CF4B4B">
      <w:pPr>
        <w:spacing w:line="360" w:lineRule="auto"/>
        <w:jc w:val="both"/>
        <w:rPr>
          <w:rFonts w:ascii="AcadNusx" w:hAnsi="AcadNusx"/>
          <w:lang w:val="it-IT"/>
        </w:rPr>
      </w:pPr>
    </w:p>
    <w:p w:rsidR="001C0C82" w:rsidRDefault="002A18A3" w:rsidP="001C0C82">
      <w:pPr>
        <w:spacing w:line="360" w:lineRule="auto"/>
        <w:jc w:val="both"/>
        <w:rPr>
          <w:rFonts w:ascii="AcadNusx" w:hAnsi="AcadNusx" w:cs="Arial"/>
          <w:b/>
          <w:lang w:val="it-IT"/>
        </w:rPr>
      </w:pPr>
      <w:r>
        <w:rPr>
          <w:rFonts w:ascii="AcadNusx" w:hAnsi="AcadNusx" w:cs="Arial"/>
          <w:b/>
          <w:highlight w:val="lightGray"/>
          <w:lang w:val="it-IT"/>
        </w:rPr>
        <w:t xml:space="preserve">                       </w:t>
      </w:r>
      <w:r w:rsidR="00B1226D">
        <w:rPr>
          <w:rFonts w:ascii="AcadNusx" w:hAnsi="AcadNusx" w:cs="Arial"/>
          <w:b/>
          <w:highlight w:val="lightGray"/>
          <w:lang w:val="it-IT"/>
        </w:rPr>
        <w:t xml:space="preserve">samuSao gamocdileba </w:t>
      </w:r>
      <w:r w:rsidR="00B1226D">
        <w:rPr>
          <w:rFonts w:ascii="AcadNusx" w:hAnsi="AcadNusx" w:cs="Arial"/>
          <w:b/>
          <w:highlight w:val="lightGray"/>
          <w:lang w:val="it-IT"/>
        </w:rPr>
        <w:tab/>
      </w:r>
      <w:r w:rsidR="00B1226D">
        <w:rPr>
          <w:rFonts w:ascii="AcadNusx" w:hAnsi="AcadNusx" w:cs="Arial"/>
          <w:b/>
          <w:highlight w:val="lightGray"/>
          <w:lang w:val="it-IT"/>
        </w:rPr>
        <w:tab/>
      </w:r>
      <w:r w:rsidR="00B1226D">
        <w:rPr>
          <w:rFonts w:ascii="AcadNusx" w:hAnsi="AcadNusx" w:cs="Arial"/>
          <w:b/>
          <w:highlight w:val="lightGray"/>
          <w:lang w:val="it-IT"/>
        </w:rPr>
        <w:tab/>
      </w:r>
      <w:r w:rsidR="00B1226D">
        <w:rPr>
          <w:rFonts w:ascii="AcadNusx" w:hAnsi="AcadNusx" w:cs="Arial"/>
          <w:b/>
          <w:highlight w:val="lightGray"/>
          <w:lang w:val="it-IT"/>
        </w:rPr>
        <w:tab/>
      </w:r>
    </w:p>
    <w:p w:rsidR="00151E96" w:rsidRDefault="00151E96" w:rsidP="001C0C82">
      <w:pPr>
        <w:spacing w:line="360" w:lineRule="auto"/>
        <w:jc w:val="both"/>
        <w:rPr>
          <w:rFonts w:ascii="Sylfaen" w:hAnsi="Sylfaen" w:cs="Arial"/>
          <w:lang w:val="ka-GE"/>
        </w:rPr>
      </w:pPr>
    </w:p>
    <w:p w:rsidR="00151E96" w:rsidRDefault="00151E96" w:rsidP="001C0C82">
      <w:pPr>
        <w:spacing w:line="360" w:lineRule="auto"/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2019 წლიდან ევროპის ენდოკრინოლოგთა ასოციაციის წევრი. </w:t>
      </w:r>
    </w:p>
    <w:p w:rsidR="001C0C82" w:rsidRDefault="001C0C82" w:rsidP="001C0C82">
      <w:pPr>
        <w:spacing w:line="360" w:lineRule="auto"/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2018 წლის ოქტომბრიდან დღემდე- ექიმი ენდოკრინოლოგი -შპს-,,თანამედროვე სამედიცინო ტექნოლოგიების დასავლეთის რეგიონალური ცენტრი“, ქ.ქუთაისი, ფოთის ქ. # 40. </w:t>
      </w:r>
    </w:p>
    <w:p w:rsidR="004C4F0F" w:rsidRPr="001C0C82" w:rsidRDefault="005B111B" w:rsidP="001C0C82">
      <w:pPr>
        <w:spacing w:line="360" w:lineRule="auto"/>
        <w:jc w:val="both"/>
        <w:rPr>
          <w:rFonts w:ascii="Sylfaen" w:hAnsi="Sylfaen" w:cs="Arial"/>
          <w:lang w:val="ka-GE"/>
        </w:rPr>
      </w:pPr>
      <w:r w:rsidRPr="004C4F0F">
        <w:rPr>
          <w:rFonts w:ascii="Sylfaen" w:hAnsi="Sylfaen" w:cs="Arial"/>
          <w:lang w:val="it-IT"/>
        </w:rPr>
        <w:t xml:space="preserve">2017 </w:t>
      </w:r>
      <w:r w:rsidR="004C4F0F">
        <w:rPr>
          <w:rFonts w:ascii="Sylfaen" w:hAnsi="Sylfaen" w:cs="Arial"/>
          <w:lang w:val="ka-GE"/>
        </w:rPr>
        <w:t>წლის ოქტომბრიდან დღემდე- კონსულტანტი-</w:t>
      </w:r>
      <w:r w:rsidR="004C4F0F" w:rsidRPr="004C4F0F">
        <w:rPr>
          <w:rFonts w:ascii="Sylfaen" w:hAnsi="Sylfaen"/>
          <w:color w:val="000000"/>
          <w:lang w:val="ka-GE"/>
        </w:rPr>
        <w:t>შპს ,,საროველი</w:t>
      </w:r>
      <w:r w:rsidR="004C4F0F">
        <w:rPr>
          <w:rFonts w:ascii="Sylfaen" w:hAnsi="Sylfaen"/>
          <w:color w:val="000000"/>
          <w:lang w:val="ka-GE"/>
        </w:rPr>
        <w:t xml:space="preserve"> </w:t>
      </w:r>
      <w:r w:rsidR="004C4F0F" w:rsidRPr="004C4F0F">
        <w:rPr>
          <w:rFonts w:ascii="Sylfaen" w:hAnsi="Sylfaen"/>
          <w:color w:val="000000"/>
          <w:lang w:val="ka-GE"/>
        </w:rPr>
        <w:t>ახალი სამედიცინო  ცენტრი</w:t>
      </w:r>
      <w:r w:rsidR="004C4F0F">
        <w:rPr>
          <w:rFonts w:ascii="Sylfaen" w:hAnsi="Sylfaen"/>
          <w:color w:val="000000"/>
          <w:lang w:val="ka-GE"/>
        </w:rPr>
        <w:t xml:space="preserve">“ ქუთაისი, </w:t>
      </w:r>
      <w:r w:rsidR="004C4F0F" w:rsidRPr="004C4F0F">
        <w:rPr>
          <w:rFonts w:ascii="Sylfaen" w:hAnsi="Sylfaen"/>
          <w:color w:val="000000"/>
          <w:lang w:val="ka-GE"/>
        </w:rPr>
        <w:t xml:space="preserve"> 9 აპრილის</w:t>
      </w:r>
      <w:r w:rsidR="004C4F0F">
        <w:rPr>
          <w:rFonts w:ascii="Sylfaen" w:hAnsi="Sylfaen"/>
          <w:color w:val="000000"/>
          <w:lang w:val="ka-GE"/>
        </w:rPr>
        <w:t xml:space="preserve"> ქ.</w:t>
      </w:r>
      <w:r w:rsidR="004C4F0F" w:rsidRPr="004C4F0F">
        <w:rPr>
          <w:rFonts w:ascii="Sylfaen" w:hAnsi="Sylfaen"/>
          <w:color w:val="000000"/>
          <w:lang w:val="ka-GE"/>
        </w:rPr>
        <w:t xml:space="preserve"> </w:t>
      </w:r>
      <w:r w:rsidR="004C4F0F">
        <w:rPr>
          <w:rFonts w:ascii="Sylfaen" w:hAnsi="Sylfaen"/>
          <w:color w:val="000000"/>
          <w:lang w:val="ka-GE"/>
        </w:rPr>
        <w:t>#</w:t>
      </w:r>
      <w:r w:rsidR="004C4F0F" w:rsidRPr="004C4F0F">
        <w:rPr>
          <w:rFonts w:ascii="Sylfaen" w:hAnsi="Sylfaen"/>
          <w:color w:val="000000"/>
          <w:lang w:val="ka-GE"/>
        </w:rPr>
        <w:t xml:space="preserve"> 8</w:t>
      </w:r>
    </w:p>
    <w:p w:rsidR="00210B55" w:rsidRPr="004C4F0F" w:rsidRDefault="00210B55" w:rsidP="004C4F0F">
      <w:pPr>
        <w:spacing w:after="240"/>
        <w:rPr>
          <w:rFonts w:ascii="Sylfaen" w:hAnsi="Sylfaen" w:cs="Sylfaen"/>
          <w:bCs/>
          <w:sz w:val="22"/>
          <w:szCs w:val="22"/>
          <w:lang w:val="ka-GE"/>
        </w:rPr>
      </w:pPr>
      <w:r>
        <w:rPr>
          <w:rFonts w:ascii="Sylfaen" w:hAnsi="Sylfaen" w:cs="Arial"/>
          <w:lang w:val="ka-GE"/>
        </w:rPr>
        <w:t>2015 წლიდან დღემდე- ექიმი ენდოკრინოლოგი- შ.პ.ს. მულტიპ</w:t>
      </w:r>
      <w:r w:rsidR="00585C3B">
        <w:rPr>
          <w:rFonts w:ascii="Sylfaen" w:hAnsi="Sylfaen" w:cs="Arial"/>
          <w:lang w:val="ka-GE"/>
        </w:rPr>
        <w:t>როფილური ჰოსპიტალი ,,მედიქალ სით</w:t>
      </w:r>
      <w:r>
        <w:rPr>
          <w:rFonts w:ascii="Sylfaen" w:hAnsi="Sylfaen" w:cs="Arial"/>
          <w:lang w:val="ka-GE"/>
        </w:rPr>
        <w:t>ი“</w:t>
      </w:r>
    </w:p>
    <w:p w:rsidR="00CD33DF" w:rsidRDefault="00CD33DF" w:rsidP="00A11D37">
      <w:pPr>
        <w:spacing w:line="360" w:lineRule="auto"/>
        <w:rPr>
          <w:rFonts w:ascii="AcadNusx" w:hAnsi="AcadNusx" w:cs="Arial"/>
          <w:lang w:val="it-IT"/>
        </w:rPr>
      </w:pPr>
      <w:r>
        <w:rPr>
          <w:rFonts w:ascii="AcadNusx" w:hAnsi="AcadNusx" w:cs="Arial"/>
          <w:lang w:val="it-IT"/>
        </w:rPr>
        <w:t xml:space="preserve">2014 – </w:t>
      </w:r>
      <w:r w:rsidR="005508F5">
        <w:rPr>
          <w:rFonts w:ascii="AcadNusx" w:hAnsi="AcadNusx" w:cs="Arial"/>
          <w:lang w:val="it-IT"/>
        </w:rPr>
        <w:t xml:space="preserve">eqimi endokrinologi, </w:t>
      </w:r>
      <w:r>
        <w:rPr>
          <w:rFonts w:ascii="AcadNusx" w:hAnsi="AcadNusx" w:cs="Arial"/>
          <w:lang w:val="it-IT"/>
        </w:rPr>
        <w:t>koba koblataZisa da ronald jeimsis saxelobis qarTul-amerikuli diabetian bavSvTa banaki.</w:t>
      </w:r>
    </w:p>
    <w:p w:rsidR="008D6F81" w:rsidRPr="00A11D37" w:rsidRDefault="00A11D37" w:rsidP="00A11D37">
      <w:pPr>
        <w:spacing w:line="360" w:lineRule="auto"/>
        <w:rPr>
          <w:rFonts w:ascii="AcadNusx" w:hAnsi="AcadNusx" w:cs="Arial"/>
          <w:lang w:val="it-IT"/>
        </w:rPr>
      </w:pPr>
      <w:r>
        <w:rPr>
          <w:rFonts w:ascii="AcadNusx" w:hAnsi="AcadNusx" w:cs="Arial"/>
          <w:lang w:val="it-IT"/>
        </w:rPr>
        <w:t xml:space="preserve">2013-2014 – </w:t>
      </w:r>
      <w:r w:rsidR="00B91CE6">
        <w:rPr>
          <w:rFonts w:ascii="AcadNusx" w:hAnsi="AcadNusx" w:cs="Arial"/>
          <w:lang w:val="it-IT"/>
        </w:rPr>
        <w:t xml:space="preserve">eqimi endokrinologi, </w:t>
      </w:r>
      <w:r>
        <w:rPr>
          <w:rFonts w:ascii="AcadNusx" w:hAnsi="AcadNusx" w:cs="Arial"/>
          <w:lang w:val="it-IT"/>
        </w:rPr>
        <w:t xml:space="preserve">klinika “medeliti,”Tbilisi saxelmwifo samedicino universitetis endokrinologiis departamenti, </w:t>
      </w:r>
      <w:r w:rsidR="00B91CE6">
        <w:rPr>
          <w:rFonts w:ascii="AcadNusx" w:hAnsi="AcadNusx" w:cs="Arial"/>
          <w:lang w:val="it-IT"/>
        </w:rPr>
        <w:t xml:space="preserve">profesor </w:t>
      </w:r>
      <w:r>
        <w:rPr>
          <w:rFonts w:ascii="AcadNusx" w:hAnsi="AcadNusx" w:cs="Arial"/>
          <w:lang w:val="it-IT"/>
        </w:rPr>
        <w:t xml:space="preserve">daviT virsalaZis xelmZRvanelobiT  </w:t>
      </w:r>
    </w:p>
    <w:p w:rsidR="00A11D37" w:rsidRPr="005B1355" w:rsidRDefault="005B1355" w:rsidP="005B1355">
      <w:pPr>
        <w:spacing w:line="360" w:lineRule="auto"/>
        <w:jc w:val="center"/>
        <w:rPr>
          <w:rFonts w:ascii="Sylfaen" w:hAnsi="Sylfaen" w:cs="Arial"/>
          <w:b/>
          <w:color w:val="FF0000"/>
          <w:lang w:val="ka-GE"/>
        </w:rPr>
      </w:pPr>
      <w:r w:rsidRPr="005B1355">
        <w:rPr>
          <w:rFonts w:ascii="Sylfaen" w:hAnsi="Sylfaen" w:cs="Arial"/>
          <w:b/>
          <w:highlight w:val="lightGray"/>
          <w:lang w:val="ka-GE"/>
        </w:rPr>
        <w:lastRenderedPageBreak/>
        <w:t>სამეცნიერო კონფერენციები</w:t>
      </w:r>
    </w:p>
    <w:p w:rsidR="005B1355" w:rsidRDefault="005B1355" w:rsidP="00BD70F7">
      <w:pPr>
        <w:spacing w:line="360" w:lineRule="auto"/>
        <w:jc w:val="both"/>
        <w:rPr>
          <w:rFonts w:ascii="Sylfaen" w:hAnsi="Sylfaen" w:cs="Arial"/>
          <w:lang w:val="ka-GE"/>
        </w:rPr>
      </w:pPr>
      <w:r w:rsidRPr="005B1355">
        <w:rPr>
          <w:lang w:val="it-IT"/>
        </w:rPr>
        <w:t xml:space="preserve">2019 </w:t>
      </w:r>
      <w:r w:rsidRPr="005B1355">
        <w:rPr>
          <w:rFonts w:ascii="Sylfaen" w:hAnsi="Sylfaen" w:cs="Sylfaen"/>
        </w:rPr>
        <w:t>წლის</w:t>
      </w:r>
      <w:r w:rsidRPr="005B1355">
        <w:rPr>
          <w:lang w:val="it-IT"/>
        </w:rPr>
        <w:t xml:space="preserve"> </w:t>
      </w:r>
      <w:r w:rsidRPr="005B1355">
        <w:rPr>
          <w:rFonts w:ascii="Sylfaen" w:hAnsi="Sylfaen" w:cs="Sylfaen"/>
        </w:rPr>
        <w:t>ოქტომბერი</w:t>
      </w:r>
      <w:r w:rsidRPr="005B1355">
        <w:rPr>
          <w:lang w:val="it-IT"/>
        </w:rPr>
        <w:t>-</w:t>
      </w:r>
      <w:r>
        <w:rPr>
          <w:rFonts w:ascii="Sylfaen" w:hAnsi="Sylfaen"/>
          <w:lang w:val="ka-GE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ფარისებრი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ჯირკვლის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დაავადებების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დიაგნოსტირებისა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და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Cs w:val="20"/>
          <w:shd w:val="clear" w:color="auto" w:fill="FFFFFF"/>
        </w:rPr>
        <w:t>მკურნალობის</w:t>
      </w:r>
      <w:r w:rsidRPr="005B1355">
        <w:rPr>
          <w:rFonts w:ascii="Helvetica" w:hAnsi="Helvetica" w:cs="Helvetica"/>
          <w:color w:val="1D2228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თანამედროვე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ტენდენციე</w:t>
      </w:r>
      <w:bookmarkStart w:id="0" w:name="_GoBack"/>
      <w:bookmarkEnd w:id="0"/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ბი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და</w:t>
      </w:r>
      <w:r w:rsidRPr="005B1355">
        <w:rPr>
          <w:rFonts w:ascii="Helvetica" w:hAnsi="Helvetica" w:cs="Helvetica"/>
          <w:color w:val="1D2228"/>
          <w:sz w:val="22"/>
          <w:szCs w:val="20"/>
          <w:shd w:val="clear" w:color="auto" w:fill="FFFFFF"/>
          <w:lang w:val="it-IT"/>
        </w:rPr>
        <w:t xml:space="preserve"> </w:t>
      </w:r>
      <w:r w:rsidRPr="005B1355">
        <w:rPr>
          <w:rFonts w:ascii="Sylfaen" w:hAnsi="Sylfaen" w:cs="Sylfaen"/>
          <w:color w:val="1D2228"/>
          <w:sz w:val="22"/>
          <w:szCs w:val="20"/>
          <w:shd w:val="clear" w:color="auto" w:fill="FFFFFF"/>
        </w:rPr>
        <w:t>რეკომენდაციები</w:t>
      </w:r>
      <w:r w:rsidRPr="005B1355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it-IT"/>
        </w:rPr>
        <w:t xml:space="preserve">- </w:t>
      </w:r>
      <w:r w:rsidRPr="005B1355">
        <w:rPr>
          <w:rFonts w:ascii="Sylfaen" w:hAnsi="Sylfaen" w:cs="Arial"/>
          <w:lang w:val="ka-GE"/>
        </w:rPr>
        <w:t>ვარშავა, პოლონეთი</w:t>
      </w:r>
      <w:r>
        <w:rPr>
          <w:rFonts w:ascii="Sylfaen" w:hAnsi="Sylfaen" w:cs="Arial"/>
          <w:lang w:val="ka-GE"/>
        </w:rPr>
        <w:t>.</w:t>
      </w:r>
    </w:p>
    <w:p w:rsidR="005B1355" w:rsidRPr="005B1355" w:rsidRDefault="005B1355" w:rsidP="00BD70F7">
      <w:pPr>
        <w:spacing w:line="360" w:lineRule="auto"/>
        <w:jc w:val="both"/>
        <w:rPr>
          <w:rFonts w:ascii="Sylfaen" w:hAnsi="Sylfaen" w:cs="Arial"/>
          <w:b/>
          <w:highlight w:val="lightGray"/>
          <w:lang w:val="it-IT"/>
        </w:rPr>
      </w:pPr>
      <w:r>
        <w:rPr>
          <w:rFonts w:ascii="Sylfaen" w:hAnsi="Sylfaen" w:cs="Arial"/>
          <w:lang w:val="ka-GE"/>
        </w:rPr>
        <w:t xml:space="preserve">2019 წელს ნოემბერი -სასწავლო კურსი-თანამედროვე მიდგომები და პრინციპები შაქრიანი დიაბეტი ტიპი 2 მკურნალობის მართვაში- მინსკი, ბალორუსია. </w:t>
      </w:r>
    </w:p>
    <w:p w:rsidR="0083311B" w:rsidRPr="008858DD" w:rsidRDefault="005C2B50" w:rsidP="00BD70F7">
      <w:pPr>
        <w:spacing w:line="360" w:lineRule="auto"/>
        <w:jc w:val="both"/>
        <w:rPr>
          <w:rFonts w:ascii="AcadNusx" w:hAnsi="AcadNusx" w:cs="Arial"/>
          <w:b/>
          <w:lang w:val="it-IT"/>
        </w:rPr>
      </w:pPr>
      <w:r>
        <w:rPr>
          <w:rFonts w:ascii="AcadNusx" w:hAnsi="AcadNusx" w:cs="Arial"/>
          <w:b/>
          <w:highlight w:val="lightGray"/>
          <w:lang w:val="it-IT"/>
        </w:rPr>
        <w:t xml:space="preserve">                      </w:t>
      </w:r>
      <w:r w:rsidR="00EA278B">
        <w:rPr>
          <w:rFonts w:ascii="AcadNusx" w:hAnsi="AcadNusx" w:cs="Arial"/>
          <w:b/>
          <w:highlight w:val="lightGray"/>
          <w:lang w:val="it-IT"/>
        </w:rPr>
        <w:t>ucxo enebis codna</w:t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B133F" w:rsidRPr="0083311B">
        <w:rPr>
          <w:rFonts w:ascii="AcadNusx" w:hAnsi="AcadNusx" w:cs="Arial"/>
          <w:b/>
          <w:lang w:val="it-IT"/>
        </w:rPr>
        <w:t xml:space="preserve"> </w:t>
      </w:r>
      <w:r w:rsidR="00F56B43">
        <w:rPr>
          <w:rFonts w:ascii="AcadNusx" w:hAnsi="AcadNusx" w:cs="Arial"/>
          <w:lang w:val="it-IT"/>
        </w:rPr>
        <w:t xml:space="preserve">    </w:t>
      </w:r>
    </w:p>
    <w:p w:rsidR="008D6F81" w:rsidRDefault="008D6F81" w:rsidP="00BD70F7">
      <w:pPr>
        <w:spacing w:line="360" w:lineRule="auto"/>
        <w:jc w:val="both"/>
        <w:rPr>
          <w:rFonts w:ascii="AcadNusx" w:hAnsi="AcadNusx" w:cs="Arial"/>
          <w:lang w:val="it-IT"/>
        </w:rPr>
      </w:pPr>
      <w:r w:rsidRPr="00816C20">
        <w:rPr>
          <w:rFonts w:ascii="AcadNusx" w:hAnsi="AcadNusx" w:cs="Arial"/>
          <w:lang w:val="it-IT"/>
        </w:rPr>
        <w:t>inglisuri</w:t>
      </w:r>
      <w:r w:rsidR="00B91CE6">
        <w:rPr>
          <w:rFonts w:ascii="AcadNusx" w:hAnsi="AcadNusx" w:cs="Arial"/>
          <w:lang w:val="it-IT"/>
        </w:rPr>
        <w:t>, rusuli.</w:t>
      </w:r>
    </w:p>
    <w:p w:rsidR="00E014B3" w:rsidRDefault="00E014B3" w:rsidP="00BD70F7">
      <w:pPr>
        <w:spacing w:line="360" w:lineRule="auto"/>
        <w:jc w:val="both"/>
        <w:rPr>
          <w:rFonts w:ascii="AcadNusx" w:hAnsi="AcadNusx" w:cs="Arial"/>
          <w:b/>
          <w:highlight w:val="lightGray"/>
          <w:lang w:val="it-IT"/>
        </w:rPr>
      </w:pPr>
    </w:p>
    <w:p w:rsidR="005C2B50" w:rsidRDefault="005C2B50" w:rsidP="00BD70F7">
      <w:pPr>
        <w:spacing w:line="360" w:lineRule="auto"/>
        <w:jc w:val="both"/>
        <w:rPr>
          <w:rFonts w:ascii="AcadNusx" w:hAnsi="AcadNusx" w:cs="Arial"/>
          <w:b/>
          <w:lang w:val="it-IT"/>
        </w:rPr>
      </w:pPr>
      <w:r>
        <w:rPr>
          <w:rFonts w:ascii="AcadNusx" w:hAnsi="AcadNusx" w:cs="Arial"/>
          <w:b/>
          <w:highlight w:val="lightGray"/>
          <w:lang w:val="it-IT"/>
        </w:rPr>
        <w:t xml:space="preserve">                        ojaxuri mdgomareoba</w:t>
      </w:r>
      <w:r w:rsidRPr="0083311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</w:p>
    <w:p w:rsidR="00A11D37" w:rsidRDefault="005C2B50" w:rsidP="00BD70F7">
      <w:pPr>
        <w:spacing w:line="360" w:lineRule="auto"/>
        <w:jc w:val="both"/>
        <w:rPr>
          <w:rFonts w:ascii="AcadNusx" w:hAnsi="AcadNusx" w:cs="Arial"/>
          <w:lang w:val="it-IT"/>
        </w:rPr>
      </w:pPr>
      <w:r>
        <w:rPr>
          <w:rFonts w:ascii="AcadNusx" w:hAnsi="AcadNusx" w:cs="Arial"/>
          <w:lang w:val="it-IT"/>
        </w:rPr>
        <w:t xml:space="preserve">daojaxebuli, </w:t>
      </w:r>
      <w:r w:rsidR="00A2079B">
        <w:rPr>
          <w:rFonts w:ascii="AcadNusx" w:hAnsi="AcadNusx" w:cs="Arial"/>
          <w:lang w:val="it-IT"/>
        </w:rPr>
        <w:t xml:space="preserve">meuRle da </w:t>
      </w:r>
      <w:r w:rsidR="00210B55">
        <w:rPr>
          <w:rFonts w:ascii="AcadNusx" w:hAnsi="AcadNusx" w:cs="Arial"/>
          <w:lang w:val="it-IT"/>
        </w:rPr>
        <w:t>სამი</w:t>
      </w:r>
      <w:r w:rsidR="00A11D37">
        <w:rPr>
          <w:rFonts w:ascii="AcadNusx" w:hAnsi="AcadNusx" w:cs="Arial"/>
          <w:lang w:val="it-IT"/>
        </w:rPr>
        <w:t xml:space="preserve"> Svili</w:t>
      </w:r>
    </w:p>
    <w:p w:rsidR="00E014B3" w:rsidRDefault="00E014B3" w:rsidP="00BD70F7">
      <w:pPr>
        <w:spacing w:line="360" w:lineRule="auto"/>
        <w:jc w:val="both"/>
        <w:rPr>
          <w:rFonts w:ascii="AcadNusx" w:hAnsi="AcadNusx" w:cs="Arial"/>
          <w:b/>
          <w:highlight w:val="lightGray"/>
          <w:lang w:val="it-IT"/>
        </w:rPr>
      </w:pPr>
    </w:p>
    <w:p w:rsidR="00210B55" w:rsidRDefault="00210B55" w:rsidP="00BD70F7">
      <w:pPr>
        <w:spacing w:line="360" w:lineRule="auto"/>
        <w:jc w:val="both"/>
        <w:rPr>
          <w:rFonts w:ascii="AcadNusx" w:hAnsi="AcadNusx" w:cs="Arial"/>
          <w:b/>
          <w:highlight w:val="lightGray"/>
          <w:lang w:val="it-IT"/>
        </w:rPr>
      </w:pPr>
    </w:p>
    <w:p w:rsidR="00210B55" w:rsidRDefault="00210B55" w:rsidP="00BD70F7">
      <w:pPr>
        <w:spacing w:line="360" w:lineRule="auto"/>
        <w:jc w:val="both"/>
        <w:rPr>
          <w:rFonts w:ascii="AcadNusx" w:hAnsi="AcadNusx" w:cs="Arial"/>
          <w:b/>
          <w:highlight w:val="lightGray"/>
          <w:lang w:val="it-IT"/>
        </w:rPr>
      </w:pPr>
    </w:p>
    <w:p w:rsidR="00A11D37" w:rsidRDefault="005C2B50" w:rsidP="00BD70F7">
      <w:pPr>
        <w:spacing w:line="360" w:lineRule="auto"/>
        <w:jc w:val="both"/>
        <w:rPr>
          <w:rFonts w:ascii="AcadNusx" w:hAnsi="AcadNusx" w:cs="Arial"/>
          <w:b/>
          <w:lang w:val="it-IT"/>
        </w:rPr>
      </w:pPr>
      <w:r>
        <w:rPr>
          <w:rFonts w:ascii="AcadNusx" w:hAnsi="AcadNusx" w:cs="Arial"/>
          <w:b/>
          <w:highlight w:val="lightGray"/>
          <w:lang w:val="it-IT"/>
        </w:rPr>
        <w:t xml:space="preserve">                       </w:t>
      </w:r>
      <w:r w:rsidR="008D6F81" w:rsidRPr="0083311B">
        <w:rPr>
          <w:rFonts w:ascii="AcadNusx" w:hAnsi="AcadNusx" w:cs="Arial"/>
          <w:b/>
          <w:highlight w:val="lightGray"/>
          <w:lang w:val="it-IT"/>
        </w:rPr>
        <w:t>kompiuterze muSaobis unari</w:t>
      </w:r>
      <w:r w:rsidR="00EA278B">
        <w:rPr>
          <w:rFonts w:ascii="AcadNusx" w:hAnsi="AcadNusx" w:cs="Arial"/>
          <w:b/>
          <w:highlight w:val="lightGray"/>
          <w:lang w:val="it-IT"/>
        </w:rPr>
        <w:t xml:space="preserve"> </w:t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EA278B">
        <w:rPr>
          <w:rFonts w:ascii="AcadNusx" w:hAnsi="AcadNusx" w:cs="Arial"/>
          <w:b/>
          <w:highlight w:val="lightGray"/>
          <w:lang w:val="it-IT"/>
        </w:rPr>
        <w:tab/>
      </w:r>
      <w:r w:rsidR="008D6F81" w:rsidRPr="0083311B">
        <w:rPr>
          <w:rFonts w:ascii="AcadNusx" w:hAnsi="AcadNusx" w:cs="Arial"/>
          <w:b/>
          <w:lang w:val="it-IT"/>
        </w:rPr>
        <w:t xml:space="preserve">  </w:t>
      </w:r>
    </w:p>
    <w:p w:rsidR="008D6F81" w:rsidRPr="00A11D37" w:rsidRDefault="008D6F81" w:rsidP="00BD70F7">
      <w:pPr>
        <w:spacing w:line="360" w:lineRule="auto"/>
        <w:jc w:val="both"/>
        <w:rPr>
          <w:rFonts w:ascii="AcadNusx" w:hAnsi="AcadNusx" w:cs="Arial"/>
          <w:lang w:val="it-IT"/>
        </w:rPr>
      </w:pPr>
      <w:r w:rsidRPr="00D46C25">
        <w:rPr>
          <w:lang w:val="it-IT"/>
        </w:rPr>
        <w:t>M</w:t>
      </w:r>
      <w:r w:rsidR="00EA278B">
        <w:rPr>
          <w:lang w:val="it-IT"/>
        </w:rPr>
        <w:t>S</w:t>
      </w:r>
      <w:r w:rsidRPr="00D46C25">
        <w:rPr>
          <w:lang w:val="it-IT"/>
        </w:rPr>
        <w:t xml:space="preserve"> Word, MS Excel, MS PowerPoint,</w:t>
      </w:r>
      <w:r w:rsidR="0083311B">
        <w:rPr>
          <w:lang w:val="it-IT"/>
        </w:rPr>
        <w:t xml:space="preserve"> </w:t>
      </w:r>
      <w:r w:rsidRPr="00D46C25">
        <w:rPr>
          <w:lang w:val="en-US"/>
        </w:rPr>
        <w:t>MS Internet Explorer</w:t>
      </w:r>
      <w:r w:rsidR="00A2079B">
        <w:rPr>
          <w:lang w:val="en-US"/>
        </w:rPr>
        <w:t>.</w:t>
      </w:r>
    </w:p>
    <w:sectPr w:rsidR="008D6F81" w:rsidRPr="00A11D37" w:rsidSect="00B51E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7E" w:rsidRDefault="00DE717E" w:rsidP="005B1355">
      <w:r>
        <w:separator/>
      </w:r>
    </w:p>
  </w:endnote>
  <w:endnote w:type="continuationSeparator" w:id="0">
    <w:p w:rsidR="00DE717E" w:rsidRDefault="00DE717E" w:rsidP="005B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7E" w:rsidRDefault="00DE717E" w:rsidP="005B1355">
      <w:r>
        <w:separator/>
      </w:r>
    </w:p>
  </w:footnote>
  <w:footnote w:type="continuationSeparator" w:id="0">
    <w:p w:rsidR="00DE717E" w:rsidRDefault="00DE717E" w:rsidP="005B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12C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6A1"/>
    <w:rsid w:val="00011931"/>
    <w:rsid w:val="00033A9B"/>
    <w:rsid w:val="00040E1F"/>
    <w:rsid w:val="00067704"/>
    <w:rsid w:val="00076FEF"/>
    <w:rsid w:val="000860F0"/>
    <w:rsid w:val="000860FA"/>
    <w:rsid w:val="000B4D1C"/>
    <w:rsid w:val="000E4307"/>
    <w:rsid w:val="000F164B"/>
    <w:rsid w:val="000F669B"/>
    <w:rsid w:val="001105A3"/>
    <w:rsid w:val="0011318B"/>
    <w:rsid w:val="00123D46"/>
    <w:rsid w:val="00133AF9"/>
    <w:rsid w:val="001427FD"/>
    <w:rsid w:val="00151E96"/>
    <w:rsid w:val="00167554"/>
    <w:rsid w:val="00194EC0"/>
    <w:rsid w:val="001A27A6"/>
    <w:rsid w:val="001B3972"/>
    <w:rsid w:val="001C0C82"/>
    <w:rsid w:val="001C17A0"/>
    <w:rsid w:val="001D50A7"/>
    <w:rsid w:val="001E7A06"/>
    <w:rsid w:val="001F1E5E"/>
    <w:rsid w:val="00210B55"/>
    <w:rsid w:val="00225557"/>
    <w:rsid w:val="00243F76"/>
    <w:rsid w:val="00244F68"/>
    <w:rsid w:val="0025401D"/>
    <w:rsid w:val="002A18A3"/>
    <w:rsid w:val="002F61DB"/>
    <w:rsid w:val="002F7372"/>
    <w:rsid w:val="00303F2F"/>
    <w:rsid w:val="00317FC5"/>
    <w:rsid w:val="00351684"/>
    <w:rsid w:val="0036272D"/>
    <w:rsid w:val="003667E3"/>
    <w:rsid w:val="003704E1"/>
    <w:rsid w:val="00392066"/>
    <w:rsid w:val="00397341"/>
    <w:rsid w:val="003B4274"/>
    <w:rsid w:val="003D23C0"/>
    <w:rsid w:val="003F5267"/>
    <w:rsid w:val="00413090"/>
    <w:rsid w:val="004403E3"/>
    <w:rsid w:val="004529E0"/>
    <w:rsid w:val="00471B3B"/>
    <w:rsid w:val="00473B74"/>
    <w:rsid w:val="004763AA"/>
    <w:rsid w:val="004B4CE6"/>
    <w:rsid w:val="004C465E"/>
    <w:rsid w:val="004C4F0F"/>
    <w:rsid w:val="004D0987"/>
    <w:rsid w:val="004D5425"/>
    <w:rsid w:val="004E64BE"/>
    <w:rsid w:val="00511167"/>
    <w:rsid w:val="00536019"/>
    <w:rsid w:val="005508F5"/>
    <w:rsid w:val="00585C3B"/>
    <w:rsid w:val="005A088E"/>
    <w:rsid w:val="005A1B1A"/>
    <w:rsid w:val="005A250F"/>
    <w:rsid w:val="005A411D"/>
    <w:rsid w:val="005B111B"/>
    <w:rsid w:val="005B1355"/>
    <w:rsid w:val="005B20FD"/>
    <w:rsid w:val="005C1B50"/>
    <w:rsid w:val="005C2B50"/>
    <w:rsid w:val="005E20BF"/>
    <w:rsid w:val="005E73D9"/>
    <w:rsid w:val="006519DF"/>
    <w:rsid w:val="006557B9"/>
    <w:rsid w:val="00662360"/>
    <w:rsid w:val="00664172"/>
    <w:rsid w:val="006851A9"/>
    <w:rsid w:val="00686439"/>
    <w:rsid w:val="00693247"/>
    <w:rsid w:val="006966DE"/>
    <w:rsid w:val="006B0938"/>
    <w:rsid w:val="006B1ABC"/>
    <w:rsid w:val="006C3F85"/>
    <w:rsid w:val="006C7B07"/>
    <w:rsid w:val="006F6B51"/>
    <w:rsid w:val="0072131B"/>
    <w:rsid w:val="00786738"/>
    <w:rsid w:val="007942AE"/>
    <w:rsid w:val="007A1D41"/>
    <w:rsid w:val="007A7CC2"/>
    <w:rsid w:val="007C769D"/>
    <w:rsid w:val="00817491"/>
    <w:rsid w:val="0083311B"/>
    <w:rsid w:val="00844AB9"/>
    <w:rsid w:val="00852C80"/>
    <w:rsid w:val="00860DC3"/>
    <w:rsid w:val="00873395"/>
    <w:rsid w:val="008858DD"/>
    <w:rsid w:val="00885BB7"/>
    <w:rsid w:val="008A3D0A"/>
    <w:rsid w:val="008B4473"/>
    <w:rsid w:val="008C210E"/>
    <w:rsid w:val="008C4A14"/>
    <w:rsid w:val="008D16A1"/>
    <w:rsid w:val="008D6F81"/>
    <w:rsid w:val="008E5923"/>
    <w:rsid w:val="008F4C60"/>
    <w:rsid w:val="00941F10"/>
    <w:rsid w:val="00981692"/>
    <w:rsid w:val="009923F6"/>
    <w:rsid w:val="009A488F"/>
    <w:rsid w:val="009D670F"/>
    <w:rsid w:val="009F1971"/>
    <w:rsid w:val="00A07BE3"/>
    <w:rsid w:val="00A11D37"/>
    <w:rsid w:val="00A2079B"/>
    <w:rsid w:val="00A81D08"/>
    <w:rsid w:val="00AE3D93"/>
    <w:rsid w:val="00B062EF"/>
    <w:rsid w:val="00B1226D"/>
    <w:rsid w:val="00B12A0D"/>
    <w:rsid w:val="00B27FDA"/>
    <w:rsid w:val="00B40E69"/>
    <w:rsid w:val="00B4686E"/>
    <w:rsid w:val="00B51E1A"/>
    <w:rsid w:val="00B540DA"/>
    <w:rsid w:val="00B91CE6"/>
    <w:rsid w:val="00BA55A8"/>
    <w:rsid w:val="00BD70F7"/>
    <w:rsid w:val="00BF0CB4"/>
    <w:rsid w:val="00BF6FA5"/>
    <w:rsid w:val="00C02E44"/>
    <w:rsid w:val="00C06CD1"/>
    <w:rsid w:val="00C105CD"/>
    <w:rsid w:val="00C36161"/>
    <w:rsid w:val="00CC094D"/>
    <w:rsid w:val="00CD33DF"/>
    <w:rsid w:val="00CD4344"/>
    <w:rsid w:val="00CF159B"/>
    <w:rsid w:val="00CF4B4B"/>
    <w:rsid w:val="00D35DC1"/>
    <w:rsid w:val="00D46C25"/>
    <w:rsid w:val="00D55A3F"/>
    <w:rsid w:val="00D6743D"/>
    <w:rsid w:val="00D70FFC"/>
    <w:rsid w:val="00DA1882"/>
    <w:rsid w:val="00DA5D96"/>
    <w:rsid w:val="00DD4EC4"/>
    <w:rsid w:val="00DE7063"/>
    <w:rsid w:val="00DE717E"/>
    <w:rsid w:val="00DE7C8B"/>
    <w:rsid w:val="00E014B3"/>
    <w:rsid w:val="00E0252A"/>
    <w:rsid w:val="00E07743"/>
    <w:rsid w:val="00E56A58"/>
    <w:rsid w:val="00E62A4D"/>
    <w:rsid w:val="00E62AF8"/>
    <w:rsid w:val="00E67F25"/>
    <w:rsid w:val="00E777D4"/>
    <w:rsid w:val="00E836B4"/>
    <w:rsid w:val="00E8475E"/>
    <w:rsid w:val="00EA278B"/>
    <w:rsid w:val="00EA28DE"/>
    <w:rsid w:val="00EB133F"/>
    <w:rsid w:val="00EB1CA1"/>
    <w:rsid w:val="00F2503D"/>
    <w:rsid w:val="00F35226"/>
    <w:rsid w:val="00F40EF0"/>
    <w:rsid w:val="00F45FA0"/>
    <w:rsid w:val="00F535AC"/>
    <w:rsid w:val="00F5516A"/>
    <w:rsid w:val="00F56B43"/>
    <w:rsid w:val="00F600F1"/>
    <w:rsid w:val="00F86565"/>
    <w:rsid w:val="00FB20D9"/>
    <w:rsid w:val="00FB4BBB"/>
    <w:rsid w:val="00FC3D53"/>
    <w:rsid w:val="00FD4CC0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32528"/>
  <w15:docId w15:val="{19336AA3-FAA3-41E4-9C63-7461013D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7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7B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B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135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B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135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0C7E-3D88-467F-BED3-3BA59D6F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Nino Lobzhanidze</cp:lastModifiedBy>
  <cp:revision>20</cp:revision>
  <cp:lastPrinted>2015-02-02T19:54:00Z</cp:lastPrinted>
  <dcterms:created xsi:type="dcterms:W3CDTF">2015-02-02T19:24:00Z</dcterms:created>
  <dcterms:modified xsi:type="dcterms:W3CDTF">2020-05-22T09:30:00Z</dcterms:modified>
</cp:coreProperties>
</file>