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Maia Dvali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19/12/1964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60001090269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1/30 Maisuradze St. Kutaisi, Georgia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597656548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Maia.dvali@unik.edu.ge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1983-1988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Ak. Tsereteli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English language and literature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Teacher of English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1970–1981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Kutaisi Secondary School №3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Secondary education</w:t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Scientific-Pedagogical Activity</w:t>
      </w:r>
    </w:p>
    <w:p w:rsidR="00000000" w:rsidDel="00000000" w:rsidP="00000000" w:rsidRDefault="00000000" w:rsidRPr="00000000" w14:paraId="00000029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Academic 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.302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1993– 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Senior teacher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2020- 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Invited Lecturer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1993–1995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Ak. Tsereteli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Teacher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1989–1993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Kutaisi Public School №38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Teacher </w:t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Other Activities</w:t>
      </w:r>
    </w:p>
    <w:p w:rsidR="00000000" w:rsidDel="00000000" w:rsidP="00000000" w:rsidRDefault="00000000" w:rsidRPr="00000000" w14:paraId="0000003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0">
            <w:pPr>
              <w:tabs>
                <w:tab w:val="left" w:pos="253"/>
                <w:tab w:val="center" w:pos="665"/>
              </w:tabs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ab/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1">
            <w:pPr>
              <w:tabs>
                <w:tab w:val="left" w:pos="253"/>
                <w:tab w:val="center" w:pos="665"/>
              </w:tabs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1988–1990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Company ‘Imereti’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Interpreter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6787"/>
        </w:tabs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Qualification Raising Courses, Seminars, Trainings</w:t>
        <w:br w:type="textWrapping"/>
      </w:r>
    </w:p>
    <w:tbl>
      <w:tblPr>
        <w:tblStyle w:val="Table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May, 2020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Advancing Learning webinar ‘ Evaluation and Assessment when teaching online’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May, 2020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Advancing Learning webinar ‘Feedback that empowers’</w:t>
            </w:r>
          </w:p>
          <w:p w:rsidR="00000000" w:rsidDel="00000000" w:rsidP="00000000" w:rsidRDefault="00000000" w:rsidRPr="00000000" w14:paraId="00000059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June, 2019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Training program ‘Active Methods of Teaching’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June, 2018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Intensive Training Course on Value and Knowledge Education (VaKE)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  <w:tr>
        <w:trPr>
          <w:trHeight w:val="65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July, 2017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Intensive Training Course ‘Reading, Listening, Speaking, Writing and Life Skills in Open Mind’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  <w:tr>
        <w:trPr>
          <w:trHeight w:val="63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May, 2012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Teaching Knowledge Test (TKT)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  <w:tr>
        <w:trPr>
          <w:trHeight w:val="55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May, 2010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Teacher Training Conference for Universities of Western Georgia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  <w:tr>
        <w:trPr>
          <w:trHeight w:val="54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June, 2003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Teacher Training Conference for Universities of Western Georgia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Trainee</w:t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07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Specify another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09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V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7Yla5sxsoJJ4oBU4XECHGXMng==">AMUW2mVRDxVxLShWmI1C2idw3hlkEUXAypVrySNsHQocrPvAC71gYwonzalAe+VRrxMYtfHUDDu1i5vFYYSSjaHZRMWQkf8U6FKIb+BQ71AXP0fg3oom35VHQ58kDRoBCX2VM+YALO3SgLrxv9GBnbzNRUXyeDnRqjWDehrqW37OI1Xb8Ons7oGcHcBL0kLaSKEQUuZaES3E3W/bq780HuZccY2qOj+iG5geU9SYvTvdx5TiY7ccmTk1kivQLcpmQGQ6aeYGERV6e1IFqiYlJ3+FEHtE6p/DtZgkMvJZvUPSwR76eWkcEJlQbzL9rjueENCNgi240HZuQc7ijSxqaN638xVMjSyg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